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4326D" w14:textId="600A0823" w:rsidR="00EE4C39" w:rsidRPr="00F94BA6" w:rsidRDefault="00EE4C39" w:rsidP="00EE4C39">
      <w:pPr>
        <w:pStyle w:val="NormalWeb"/>
        <w:rPr>
          <w:rFonts w:ascii="Gill Sans MT" w:eastAsiaTheme="majorEastAsia" w:hAnsi="Gill Sans MT"/>
          <w:b/>
          <w:bCs/>
        </w:rPr>
      </w:pPr>
      <w:r w:rsidRPr="00EE4C39">
        <w:rPr>
          <w:rStyle w:val="Strong"/>
          <w:rFonts w:ascii="Gill Sans MT" w:eastAsiaTheme="majorEastAsia" w:hAnsi="Gill Sans MT"/>
        </w:rPr>
        <w:t>Introduction</w:t>
      </w:r>
      <w:r w:rsidR="00F94BA6">
        <w:rPr>
          <w:rStyle w:val="Strong"/>
          <w:rFonts w:ascii="Gill Sans MT" w:eastAsiaTheme="majorEastAsia" w:hAnsi="Gill Sans MT"/>
        </w:rPr>
        <w:t xml:space="preserve"> to Text Levelling</w:t>
      </w:r>
      <w:r w:rsidRPr="00EE4C39">
        <w:rPr>
          <w:rFonts w:ascii="Gill Sans MT" w:hAnsi="Gill Sans MT"/>
        </w:rPr>
        <w:br/>
        <w:t xml:space="preserve">Learning to read is a gradual climb, and every pupil’s path twists a little differently. </w:t>
      </w:r>
      <w:r w:rsidRPr="00EE4C39">
        <w:rPr>
          <w:rFonts w:ascii="Arial" w:hAnsi="Arial" w:cs="Arial"/>
        </w:rPr>
        <w:t> </w:t>
      </w:r>
      <w:r w:rsidRPr="00EE4C39">
        <w:rPr>
          <w:rFonts w:ascii="Gill Sans MT" w:hAnsi="Gill Sans MT"/>
        </w:rPr>
        <w:t xml:space="preserve">Lexile® measures offer teachers and parents a convenient “altitude marker” for written language, indicating how challenging a passage is likely to be based on sentence length and word frequency. </w:t>
      </w:r>
      <w:r w:rsidRPr="00EE4C39">
        <w:rPr>
          <w:rFonts w:ascii="Arial" w:hAnsi="Arial" w:cs="Arial"/>
        </w:rPr>
        <w:t> </w:t>
      </w:r>
      <w:r w:rsidRPr="00EE4C39">
        <w:rPr>
          <w:rFonts w:ascii="Gill Sans MT" w:hAnsi="Gill Sans MT"/>
        </w:rPr>
        <w:t>By grouping those scores into broad, overlapping bands for Years</w:t>
      </w:r>
      <w:r w:rsidRPr="00EE4C39">
        <w:rPr>
          <w:rFonts w:ascii="Arial" w:hAnsi="Arial" w:cs="Arial"/>
        </w:rPr>
        <w:t> </w:t>
      </w:r>
      <w:r w:rsidRPr="00EE4C39">
        <w:rPr>
          <w:rFonts w:ascii="Gill Sans MT" w:hAnsi="Gill Sans MT"/>
        </w:rPr>
        <w:t>1–6, we can stock classrooms with material that is neither too easy (which risks boredom) nor too hard (which can damage confidence).</w:t>
      </w:r>
    </w:p>
    <w:p w14:paraId="5330C1E3" w14:textId="33C69393" w:rsidR="00EE4C39" w:rsidRPr="00EE4C39" w:rsidRDefault="00EE4C39" w:rsidP="00EE4C39">
      <w:pPr>
        <w:pStyle w:val="NormalWeb"/>
        <w:rPr>
          <w:rFonts w:ascii="Gill Sans MT" w:hAnsi="Gill Sans MT"/>
        </w:rPr>
      </w:pPr>
      <w:r w:rsidRPr="00EE4C39">
        <w:rPr>
          <w:rFonts w:ascii="Gill Sans MT" w:hAnsi="Gill Sans MT"/>
        </w:rPr>
        <w:t xml:space="preserve">These bands are designed to make lesson planning faster and </w:t>
      </w:r>
      <w:r w:rsidR="00417A20">
        <w:rPr>
          <w:rFonts w:ascii="Gill Sans MT" w:hAnsi="Gill Sans MT"/>
        </w:rPr>
        <w:t>text</w:t>
      </w:r>
      <w:r w:rsidRPr="00EE4C39">
        <w:rPr>
          <w:rFonts w:ascii="Gill Sans MT" w:hAnsi="Gill Sans MT"/>
        </w:rPr>
        <w:t xml:space="preserve"> choice smarter. </w:t>
      </w:r>
      <w:r w:rsidRPr="00EE4C39">
        <w:rPr>
          <w:rFonts w:ascii="Arial" w:hAnsi="Arial" w:cs="Arial"/>
        </w:rPr>
        <w:t> </w:t>
      </w:r>
      <w:r w:rsidRPr="00EE4C39">
        <w:rPr>
          <w:rFonts w:ascii="Gill Sans MT" w:hAnsi="Gill Sans MT"/>
        </w:rPr>
        <w:t xml:space="preserve">When you pick a text that sits comfortably within a child’s band, most decoding effort has already been handled; the pupil can focus energy on meaning, expression and enjoyment. </w:t>
      </w:r>
      <w:r w:rsidRPr="00EE4C39">
        <w:rPr>
          <w:rFonts w:ascii="Arial" w:hAnsi="Arial" w:cs="Arial"/>
        </w:rPr>
        <w:t> </w:t>
      </w:r>
      <w:r w:rsidRPr="00EE4C39">
        <w:rPr>
          <w:rFonts w:ascii="Gill Sans MT" w:hAnsi="Gill Sans MT"/>
        </w:rPr>
        <w:t>When you purposefully introduce a text near the top of the band—as part of guided or whole</w:t>
      </w:r>
      <w:r w:rsidRPr="00EE4C39">
        <w:rPr>
          <w:rFonts w:ascii="Gill Sans MT" w:hAnsi="Gill Sans MT"/>
        </w:rPr>
        <w:noBreakHyphen/>
        <w:t>class reading—you are signalling, “This piece is stretch</w:t>
      </w:r>
      <w:r w:rsidRPr="00EE4C39">
        <w:rPr>
          <w:rFonts w:ascii="Gill Sans MT" w:hAnsi="Gill Sans MT"/>
        </w:rPr>
        <w:noBreakHyphen/>
        <w:t>worthy, and I am here to help you tackle it.”</w:t>
      </w:r>
    </w:p>
    <w:p w14:paraId="64A6612F" w14:textId="5DEB2848" w:rsidR="00EE4C39" w:rsidRDefault="00EE4C39" w:rsidP="00EE4C39">
      <w:pPr>
        <w:pStyle w:val="NormalWeb"/>
        <w:rPr>
          <w:rFonts w:ascii="Gill Sans MT" w:hAnsi="Gill Sans MT"/>
        </w:rPr>
      </w:pPr>
      <w:r w:rsidRPr="00EE4C39">
        <w:rPr>
          <w:rFonts w:ascii="Gill Sans MT" w:hAnsi="Gill Sans MT"/>
        </w:rPr>
        <w:t xml:space="preserve">Remember, a Lexile number describes a text, not a reader. </w:t>
      </w:r>
      <w:r w:rsidRPr="00EE4C39">
        <w:rPr>
          <w:rFonts w:ascii="Arial" w:hAnsi="Arial" w:cs="Arial"/>
        </w:rPr>
        <w:t> </w:t>
      </w:r>
      <w:r w:rsidRPr="00EE4C39">
        <w:rPr>
          <w:rFonts w:ascii="Gill Sans MT" w:hAnsi="Gill Sans MT"/>
        </w:rPr>
        <w:t xml:space="preserve">It should guide resource selection, not define a child’s ability. </w:t>
      </w:r>
      <w:r w:rsidRPr="00EE4C39">
        <w:rPr>
          <w:rFonts w:ascii="Arial" w:hAnsi="Arial" w:cs="Arial"/>
        </w:rPr>
        <w:t> </w:t>
      </w:r>
      <w:r w:rsidRPr="00EE4C39">
        <w:rPr>
          <w:rFonts w:ascii="Gill Sans MT" w:hAnsi="Gill Sans MT"/>
        </w:rPr>
        <w:t>Interest level, prior knowledge and cultural relevance remain essential ingredients in the recipe for successful reading experiences.</w:t>
      </w:r>
    </w:p>
    <w:p w14:paraId="15B188B9" w14:textId="14128D44" w:rsidR="00417A20" w:rsidRPr="00EE4C39" w:rsidRDefault="00417A20" w:rsidP="00EE4C39">
      <w:pPr>
        <w:pStyle w:val="NormalWeb"/>
        <w:rPr>
          <w:rFonts w:ascii="Gill Sans MT" w:hAnsi="Gill Sans MT"/>
        </w:rPr>
      </w:pPr>
      <w:r>
        <w:rPr>
          <w:rFonts w:ascii="Gill Sans MT" w:hAnsi="Gill Sans MT"/>
        </w:rPr>
        <w:t>Quite simply, if a text is too hard then dial it down using the levels as a guide. If pupils need something a little more challenging then you can turn it up a notch by finding a text a little higher up. Also, don’t worry too much about the year group, dip into lower year groups or higher if needed to find the right level text for your learners.</w:t>
      </w:r>
    </w:p>
    <w:tbl>
      <w:tblPr>
        <w:tblStyle w:val="TableGridLight"/>
        <w:tblpPr w:leftFromText="180" w:rightFromText="180" w:vertAnchor="page" w:horzAnchor="margin" w:tblpY="8035"/>
        <w:tblW w:w="9072" w:type="dxa"/>
        <w:tblLook w:val="04A0" w:firstRow="1" w:lastRow="0" w:firstColumn="1" w:lastColumn="0" w:noHBand="0" w:noVBand="1"/>
      </w:tblPr>
      <w:tblGrid>
        <w:gridCol w:w="664"/>
        <w:gridCol w:w="807"/>
        <w:gridCol w:w="1144"/>
        <w:gridCol w:w="3617"/>
        <w:gridCol w:w="2840"/>
      </w:tblGrid>
      <w:tr w:rsidR="00EE4C39" w:rsidRPr="00EE4C39" w14:paraId="4DA364F0" w14:textId="77777777" w:rsidTr="00417A20">
        <w:trPr>
          <w:trHeight w:val="633"/>
        </w:trPr>
        <w:tc>
          <w:tcPr>
            <w:tcW w:w="0" w:type="auto"/>
            <w:vAlign w:val="center"/>
            <w:hideMark/>
          </w:tcPr>
          <w:p w14:paraId="6CE0BA33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Year</w:t>
            </w:r>
          </w:p>
        </w:tc>
        <w:tc>
          <w:tcPr>
            <w:tcW w:w="807" w:type="dxa"/>
            <w:vAlign w:val="center"/>
            <w:hideMark/>
          </w:tcPr>
          <w:p w14:paraId="04542281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Age</w:t>
            </w:r>
          </w:p>
        </w:tc>
        <w:tc>
          <w:tcPr>
            <w:tcW w:w="1144" w:type="dxa"/>
            <w:vAlign w:val="center"/>
            <w:hideMark/>
          </w:tcPr>
          <w:p w14:paraId="2ABC589A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“Comfort Band”*</w:t>
            </w:r>
          </w:p>
        </w:tc>
        <w:tc>
          <w:tcPr>
            <w:tcW w:w="3617" w:type="dxa"/>
            <w:vAlign w:val="center"/>
            <w:hideMark/>
          </w:tcPr>
          <w:p w14:paraId="169FC618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Typical Text Features</w:t>
            </w:r>
          </w:p>
        </w:tc>
        <w:tc>
          <w:tcPr>
            <w:tcW w:w="2840" w:type="dxa"/>
            <w:vAlign w:val="center"/>
            <w:hideMark/>
          </w:tcPr>
          <w:p w14:paraId="0A7F3866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Key Reading Goals</w:t>
            </w:r>
          </w:p>
        </w:tc>
      </w:tr>
      <w:tr w:rsidR="00EE4C39" w:rsidRPr="00EE4C39" w14:paraId="7923953E" w14:textId="77777777" w:rsidTr="00417A20">
        <w:trPr>
          <w:trHeight w:val="973"/>
        </w:trPr>
        <w:tc>
          <w:tcPr>
            <w:tcW w:w="0" w:type="auto"/>
            <w:vAlign w:val="center"/>
            <w:hideMark/>
          </w:tcPr>
          <w:p w14:paraId="10643AC2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Y1</w:t>
            </w:r>
          </w:p>
        </w:tc>
        <w:tc>
          <w:tcPr>
            <w:tcW w:w="807" w:type="dxa"/>
            <w:vAlign w:val="center"/>
            <w:hideMark/>
          </w:tcPr>
          <w:p w14:paraId="702EE9B5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144" w:type="dxa"/>
            <w:vAlign w:val="center"/>
            <w:hideMark/>
          </w:tcPr>
          <w:p w14:paraId="52C8BEA9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50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200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</w:p>
        </w:tc>
        <w:tc>
          <w:tcPr>
            <w:tcW w:w="3617" w:type="dxa"/>
            <w:vAlign w:val="center"/>
            <w:hideMark/>
          </w:tcPr>
          <w:p w14:paraId="7A47479C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Single short sentences, large font, strong picture cues, repeated high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noBreakHyphen/>
              <w:t>frequency words</w:t>
            </w:r>
          </w:p>
        </w:tc>
        <w:tc>
          <w:tcPr>
            <w:tcW w:w="2840" w:type="dxa"/>
            <w:vAlign w:val="center"/>
            <w:hideMark/>
          </w:tcPr>
          <w:p w14:paraId="1B93334B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Decode phonics, track left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noBreakHyphen/>
              <w:t>to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noBreakHyphen/>
              <w:t>right, build confidence</w:t>
            </w:r>
          </w:p>
        </w:tc>
      </w:tr>
      <w:tr w:rsidR="00EE4C39" w:rsidRPr="00EE4C39" w14:paraId="5E9CC62B" w14:textId="77777777" w:rsidTr="00417A20">
        <w:trPr>
          <w:trHeight w:val="958"/>
        </w:trPr>
        <w:tc>
          <w:tcPr>
            <w:tcW w:w="0" w:type="auto"/>
            <w:vAlign w:val="center"/>
            <w:hideMark/>
          </w:tcPr>
          <w:p w14:paraId="652152EC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Y2</w:t>
            </w:r>
          </w:p>
        </w:tc>
        <w:tc>
          <w:tcPr>
            <w:tcW w:w="807" w:type="dxa"/>
            <w:vAlign w:val="center"/>
            <w:hideMark/>
          </w:tcPr>
          <w:p w14:paraId="4A771B0C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144" w:type="dxa"/>
            <w:vAlign w:val="center"/>
            <w:hideMark/>
          </w:tcPr>
          <w:p w14:paraId="56558A1A" w14:textId="7F6A75E5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  <w:r w:rsidR="00F94BA6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00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350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</w:p>
        </w:tc>
        <w:tc>
          <w:tcPr>
            <w:tcW w:w="3617" w:type="dxa"/>
            <w:vAlign w:val="center"/>
            <w:hideMark/>
          </w:tcPr>
          <w:p w14:paraId="2A9FF31E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Simple storylines, clear dialogue tags, short paragraphs, some new topic words</w:t>
            </w:r>
          </w:p>
        </w:tc>
        <w:tc>
          <w:tcPr>
            <w:tcW w:w="2840" w:type="dxa"/>
            <w:vAlign w:val="center"/>
            <w:hideMark/>
          </w:tcPr>
          <w:p w14:paraId="553EA069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Smooth phrasing, use context clues, retell beginning–middle–end</w:t>
            </w:r>
          </w:p>
        </w:tc>
      </w:tr>
      <w:tr w:rsidR="00EE4C39" w:rsidRPr="00EE4C39" w14:paraId="726BAF37" w14:textId="77777777" w:rsidTr="00417A20">
        <w:trPr>
          <w:trHeight w:val="958"/>
        </w:trPr>
        <w:tc>
          <w:tcPr>
            <w:tcW w:w="0" w:type="auto"/>
            <w:vAlign w:val="center"/>
            <w:hideMark/>
          </w:tcPr>
          <w:p w14:paraId="3F6B3A49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Y3</w:t>
            </w:r>
          </w:p>
        </w:tc>
        <w:tc>
          <w:tcPr>
            <w:tcW w:w="807" w:type="dxa"/>
            <w:vAlign w:val="center"/>
            <w:hideMark/>
          </w:tcPr>
          <w:p w14:paraId="0FA7D41F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</w:p>
        </w:tc>
        <w:tc>
          <w:tcPr>
            <w:tcW w:w="1144" w:type="dxa"/>
            <w:vAlign w:val="center"/>
            <w:hideMark/>
          </w:tcPr>
          <w:p w14:paraId="34815552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300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600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</w:p>
        </w:tc>
        <w:tc>
          <w:tcPr>
            <w:tcW w:w="3617" w:type="dxa"/>
            <w:vAlign w:val="center"/>
            <w:hideMark/>
          </w:tcPr>
          <w:p w14:paraId="60B2FD22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Several paragraphs per page, basic nonfiction features (headings, captions), familiar plots with a twist</w:t>
            </w:r>
          </w:p>
        </w:tc>
        <w:tc>
          <w:tcPr>
            <w:tcW w:w="2840" w:type="dxa"/>
            <w:vAlign w:val="center"/>
            <w:hideMark/>
          </w:tcPr>
          <w:p w14:paraId="4DA5F318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Summarise main idea, locate facts, discuss character motives</w:t>
            </w:r>
          </w:p>
        </w:tc>
      </w:tr>
      <w:tr w:rsidR="00EE4C39" w:rsidRPr="00EE4C39" w14:paraId="6137C1E5" w14:textId="77777777" w:rsidTr="00417A20">
        <w:trPr>
          <w:trHeight w:val="973"/>
        </w:trPr>
        <w:tc>
          <w:tcPr>
            <w:tcW w:w="0" w:type="auto"/>
            <w:vAlign w:val="center"/>
            <w:hideMark/>
          </w:tcPr>
          <w:p w14:paraId="282DC678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Y4</w:t>
            </w:r>
          </w:p>
        </w:tc>
        <w:tc>
          <w:tcPr>
            <w:tcW w:w="807" w:type="dxa"/>
            <w:vAlign w:val="center"/>
            <w:hideMark/>
          </w:tcPr>
          <w:p w14:paraId="7F23BC3C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9</w:t>
            </w:r>
          </w:p>
        </w:tc>
        <w:tc>
          <w:tcPr>
            <w:tcW w:w="1144" w:type="dxa"/>
            <w:vAlign w:val="center"/>
            <w:hideMark/>
          </w:tcPr>
          <w:p w14:paraId="18F9576A" w14:textId="29F92E39" w:rsidR="00EE4C39" w:rsidRPr="00EE4C39" w:rsidRDefault="00417A20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45</w:t>
            </w:r>
            <w:r w:rsidR="00EE4C39"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0</w:t>
            </w:r>
            <w:r w:rsidR="00EE4C39"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="00EE4C39"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  <w:r w:rsidR="00EE4C39"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="00EE4C39"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–</w:t>
            </w:r>
            <w:r w:rsidR="00EE4C39"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="00EE4C39"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750</w:t>
            </w:r>
            <w:r w:rsidR="00EE4C39"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="00EE4C39"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</w:p>
        </w:tc>
        <w:tc>
          <w:tcPr>
            <w:tcW w:w="3617" w:type="dxa"/>
            <w:vAlign w:val="center"/>
            <w:hideMark/>
          </w:tcPr>
          <w:p w14:paraId="309B3C86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Varied sentence length, subject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noBreakHyphen/>
              <w:t>specific terms explained in text, modest inference</w:t>
            </w:r>
          </w:p>
        </w:tc>
        <w:tc>
          <w:tcPr>
            <w:tcW w:w="2840" w:type="dxa"/>
            <w:vAlign w:val="center"/>
            <w:hideMark/>
          </w:tcPr>
          <w:p w14:paraId="4E6DB14D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Quote evidence, compare viewpoints, use glossaries/diagrams</w:t>
            </w:r>
          </w:p>
        </w:tc>
      </w:tr>
      <w:tr w:rsidR="00EE4C39" w:rsidRPr="00EE4C39" w14:paraId="24776FC7" w14:textId="77777777" w:rsidTr="00417A20">
        <w:trPr>
          <w:trHeight w:val="958"/>
        </w:trPr>
        <w:tc>
          <w:tcPr>
            <w:tcW w:w="0" w:type="auto"/>
            <w:vAlign w:val="center"/>
            <w:hideMark/>
          </w:tcPr>
          <w:p w14:paraId="33164FC0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Y5</w:t>
            </w:r>
          </w:p>
        </w:tc>
        <w:tc>
          <w:tcPr>
            <w:tcW w:w="807" w:type="dxa"/>
            <w:vAlign w:val="center"/>
            <w:hideMark/>
          </w:tcPr>
          <w:p w14:paraId="79FE3F41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9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  <w:tc>
          <w:tcPr>
            <w:tcW w:w="1144" w:type="dxa"/>
            <w:vAlign w:val="center"/>
            <w:hideMark/>
          </w:tcPr>
          <w:p w14:paraId="29CD9DE5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600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850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</w:p>
        </w:tc>
        <w:tc>
          <w:tcPr>
            <w:tcW w:w="3617" w:type="dxa"/>
            <w:vAlign w:val="center"/>
            <w:hideMark/>
          </w:tcPr>
          <w:p w14:paraId="502F28A4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Denser informational passages, figurative language, multiple perspectives</w:t>
            </w:r>
          </w:p>
        </w:tc>
        <w:tc>
          <w:tcPr>
            <w:tcW w:w="2840" w:type="dxa"/>
            <w:vAlign w:val="center"/>
            <w:hideMark/>
          </w:tcPr>
          <w:p w14:paraId="3C36FC3C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Infer author’s purpose, track multi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noBreakHyphen/>
              <w:t>step explanations, evaluate claims</w:t>
            </w:r>
          </w:p>
        </w:tc>
      </w:tr>
      <w:tr w:rsidR="00EE4C39" w:rsidRPr="00EE4C39" w14:paraId="4740CC2F" w14:textId="77777777" w:rsidTr="00417A20">
        <w:trPr>
          <w:trHeight w:val="958"/>
        </w:trPr>
        <w:tc>
          <w:tcPr>
            <w:tcW w:w="0" w:type="auto"/>
            <w:vAlign w:val="center"/>
            <w:hideMark/>
          </w:tcPr>
          <w:p w14:paraId="1507E0F0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Y6</w:t>
            </w:r>
          </w:p>
        </w:tc>
        <w:tc>
          <w:tcPr>
            <w:tcW w:w="807" w:type="dxa"/>
            <w:vAlign w:val="center"/>
            <w:hideMark/>
          </w:tcPr>
          <w:p w14:paraId="6A4D2124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11</w:t>
            </w:r>
          </w:p>
        </w:tc>
        <w:tc>
          <w:tcPr>
            <w:tcW w:w="1144" w:type="dxa"/>
            <w:vAlign w:val="center"/>
            <w:hideMark/>
          </w:tcPr>
          <w:p w14:paraId="2BFD46A2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750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–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1050</w:t>
            </w:r>
            <w:r w:rsidRPr="00EE4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 </w:t>
            </w:r>
            <w:r w:rsidRPr="00EE4C39">
              <w:rPr>
                <w:rFonts w:ascii="Gill Sans MT" w:eastAsia="Times New Roman" w:hAnsi="Gill Sans MT" w:cs="Times New Roman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</w:p>
        </w:tc>
        <w:tc>
          <w:tcPr>
            <w:tcW w:w="3617" w:type="dxa"/>
            <w:vAlign w:val="center"/>
            <w:hideMark/>
          </w:tcPr>
          <w:p w14:paraId="2E8B858D" w14:textId="77777777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Layered arguments, nuanced vocabulary, charts or timelines embedded</w:t>
            </w:r>
          </w:p>
        </w:tc>
        <w:tc>
          <w:tcPr>
            <w:tcW w:w="2840" w:type="dxa"/>
            <w:vAlign w:val="center"/>
            <w:hideMark/>
          </w:tcPr>
          <w:p w14:paraId="398F3DC0" w14:textId="6CB41C2E" w:rsidR="00EE4C39" w:rsidRPr="00EE4C39" w:rsidRDefault="00EE4C39" w:rsidP="00417A20">
            <w:pPr>
              <w:jc w:val="center"/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Synthesi</w:t>
            </w:r>
            <w:r w:rsidR="00F94BA6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s</w:t>
            </w:r>
            <w:r w:rsidRPr="00EE4C39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eastAsia="en-GB"/>
                <w14:ligatures w14:val="none"/>
              </w:rPr>
              <w:t>e across sections, identify bias, cite evidence when writing</w:t>
            </w:r>
          </w:p>
        </w:tc>
      </w:tr>
    </w:tbl>
    <w:p w14:paraId="1B422276" w14:textId="77777777" w:rsidR="00EE4C39" w:rsidRDefault="00EE4C39" w:rsidP="00EE4C39">
      <w:pPr>
        <w:pStyle w:val="NormalWeb"/>
      </w:pPr>
    </w:p>
    <w:p w14:paraId="694DA967" w14:textId="77777777" w:rsidR="00417A20" w:rsidRDefault="00417A20" w:rsidP="00417A20">
      <w:pPr>
        <w:spacing w:before="100" w:beforeAutospacing="1" w:after="100" w:afterAutospacing="1"/>
        <w:outlineLvl w:val="2"/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</w:pPr>
    </w:p>
    <w:p w14:paraId="23C8AE03" w14:textId="75C38837" w:rsidR="00417A20" w:rsidRPr="00417A20" w:rsidRDefault="00417A20" w:rsidP="00417A20">
      <w:pPr>
        <w:spacing w:before="100" w:beforeAutospacing="1" w:after="100" w:afterAutospacing="1"/>
        <w:outlineLvl w:val="2"/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  <w:lastRenderedPageBreak/>
        <w:t>How to Use the Bands in Daily Practice</w:t>
      </w:r>
    </w:p>
    <w:p w14:paraId="64C87D62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u w:val="single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kern w:val="0"/>
          <w:u w:val="single"/>
          <w:lang w:eastAsia="en-GB"/>
          <w14:ligatures w14:val="none"/>
        </w:rPr>
        <w:t>Select, Don’t Sort Children</w:t>
      </w:r>
    </w:p>
    <w:p w14:paraId="7A7EFFB3" w14:textId="617A3970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>
        <w:rPr>
          <w:rFonts w:ascii="Gill Sans MT" w:eastAsia="Times New Roman" w:hAnsi="Gill Sans MT" w:cs="Times New Roman"/>
          <w:kern w:val="0"/>
          <w:lang w:eastAsia="en-GB"/>
          <w14:ligatures w14:val="none"/>
        </w:rPr>
        <w:t>V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 xml:space="preserve">iew the bands as </w:t>
      </w:r>
      <w:r w:rsidRPr="00417A20">
        <w:rPr>
          <w:rFonts w:ascii="Gill Sans MT" w:eastAsia="Times New Roman" w:hAnsi="Gill Sans MT" w:cs="Times New Roman"/>
          <w:i/>
          <w:iCs/>
          <w:kern w:val="0"/>
          <w:lang w:eastAsia="en-GB"/>
          <w14:ligatures w14:val="none"/>
        </w:rPr>
        <w:t>text filters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 xml:space="preserve">, not </w:t>
      </w:r>
      <w:r w:rsidRPr="00417A20">
        <w:rPr>
          <w:rFonts w:ascii="Gill Sans MT" w:eastAsia="Times New Roman" w:hAnsi="Gill Sans MT" w:cs="Times New Roman"/>
          <w:i/>
          <w:iCs/>
          <w:kern w:val="0"/>
          <w:lang w:eastAsia="en-GB"/>
          <w14:ligatures w14:val="none"/>
        </w:rPr>
        <w:t>pupil labels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.</w:t>
      </w:r>
    </w:p>
    <w:p w14:paraId="504C56B8" w14:textId="7698EB06" w:rsid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Move flexibly: a reluctant reader may thrive on lower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noBreakHyphen/>
        <w:t>band fiction that sparks curiosity, while an avid reader might relish a higher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noBreakHyphen/>
        <w:t>band article with light support.</w:t>
      </w:r>
    </w:p>
    <w:p w14:paraId="127C8B52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u w:val="single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kern w:val="0"/>
          <w:u w:val="single"/>
          <w:lang w:eastAsia="en-GB"/>
          <w14:ligatures w14:val="none"/>
        </w:rPr>
        <w:t>Save Planning Time</w:t>
      </w:r>
    </w:p>
    <w:p w14:paraId="4EF993A4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For comprehension tasks, choose source material inside the year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noBreakHyphen/>
        <w:t>band first, then craft questions—no more guessing whether the language pitch is right.</w:t>
      </w:r>
    </w:p>
    <w:p w14:paraId="57A1E606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In topic lessons, pair a core article within the band with a short “stretch” paragraph 50–100</w:t>
      </w:r>
      <w:r w:rsidRPr="00417A20">
        <w:rPr>
          <w:rFonts w:ascii="Arial" w:eastAsia="Times New Roman" w:hAnsi="Arial" w:cs="Arial"/>
          <w:kern w:val="0"/>
          <w:lang w:eastAsia="en-GB"/>
          <w14:ligatures w14:val="none"/>
        </w:rPr>
        <w:t> 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L higher; differentiation becomes quick and consistent.</w:t>
      </w:r>
    </w:p>
    <w:p w14:paraId="79026026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u w:val="single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kern w:val="0"/>
          <w:u w:val="single"/>
          <w:lang w:eastAsia="en-GB"/>
          <w14:ligatures w14:val="none"/>
        </w:rPr>
        <w:t>Support Teaching and Learning</w:t>
      </w:r>
    </w:p>
    <w:p w14:paraId="6B2F8830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Pre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noBreakHyphen/>
        <w:t>teach key vocabulary in any text near the top of the band.</w:t>
      </w:r>
    </w:p>
    <w:p w14:paraId="19889958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Model strategies—predicting, summarising, questioning—during guided reading so pupils learn to untangle complex sentences rather than dodge them.</w:t>
      </w:r>
    </w:p>
    <w:p w14:paraId="286F7AD8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Reinforce subject language across the curriculum: a science passage at 750</w:t>
      </w:r>
      <w:r w:rsidRPr="00417A20">
        <w:rPr>
          <w:rFonts w:ascii="Arial" w:eastAsia="Times New Roman" w:hAnsi="Arial" w:cs="Arial"/>
          <w:kern w:val="0"/>
          <w:lang w:eastAsia="en-GB"/>
          <w14:ligatures w14:val="none"/>
        </w:rPr>
        <w:t> 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L strengthens decoding skills that surface again in a 750</w:t>
      </w:r>
      <w:r w:rsidRPr="00417A20">
        <w:rPr>
          <w:rFonts w:ascii="Arial" w:eastAsia="Times New Roman" w:hAnsi="Arial" w:cs="Arial"/>
          <w:kern w:val="0"/>
          <w:lang w:eastAsia="en-GB"/>
          <w14:ligatures w14:val="none"/>
        </w:rPr>
        <w:t> 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L history extract.</w:t>
      </w:r>
    </w:p>
    <w:p w14:paraId="57C87AF2" w14:textId="77777777" w:rsidR="00417A20" w:rsidRPr="00417A20" w:rsidRDefault="000E131B" w:rsidP="00417A20">
      <w:pPr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0E131B">
        <w:rPr>
          <w:rFonts w:ascii="Gill Sans MT" w:eastAsia="Times New Roman" w:hAnsi="Gill Sans MT" w:cs="Times New Roman"/>
          <w:noProof/>
          <w:kern w:val="0"/>
          <w:lang w:eastAsia="en-GB"/>
        </w:rPr>
        <w:pict w14:anchorId="7570318E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412184E2" w14:textId="77777777" w:rsidR="00417A20" w:rsidRPr="00417A20" w:rsidRDefault="00417A20" w:rsidP="00417A20">
      <w:pPr>
        <w:spacing w:before="100" w:beforeAutospacing="1" w:after="100" w:afterAutospacing="1"/>
        <w:outlineLvl w:val="2"/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  <w:t xml:space="preserve">What Lexile Levels Are </w:t>
      </w:r>
      <w:r w:rsidRPr="00417A20">
        <w:rPr>
          <w:rFonts w:ascii="Gill Sans MT" w:eastAsia="Times New Roman" w:hAnsi="Gill Sans MT" w:cs="Times New Roman"/>
          <w:b/>
          <w:bCs/>
          <w:i/>
          <w:iCs/>
          <w:kern w:val="0"/>
          <w:lang w:eastAsia="en-GB"/>
          <w14:ligatures w14:val="none"/>
        </w:rPr>
        <w:t>Not</w:t>
      </w:r>
      <w:r w:rsidRPr="00417A20"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  <w:t xml:space="preserve"> For</w:t>
      </w:r>
    </w:p>
    <w:p w14:paraId="3DF3AC51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  <w:t xml:space="preserve">Not 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a pupil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noBreakHyphen/>
        <w:t>ranking tool – Reading identity is richer than a number.</w:t>
      </w:r>
    </w:p>
    <w:p w14:paraId="48266D93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  <w:t xml:space="preserve">Not 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a sole difficulty gauge – Illustrations, text structure and background knowledge also shape comprehension.</w:t>
      </w:r>
    </w:p>
    <w:p w14:paraId="05468B8E" w14:textId="77777777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  <w:t xml:space="preserve">Not 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t>a substitute for professional judgement – Always weigh interest, cultural relevance and emotional readiness alongside the numeric measure.</w:t>
      </w:r>
    </w:p>
    <w:p w14:paraId="7E647051" w14:textId="77777777" w:rsidR="00417A20" w:rsidRPr="00417A20" w:rsidRDefault="000E131B" w:rsidP="00417A20">
      <w:pPr>
        <w:rPr>
          <w:rFonts w:ascii="Gill Sans MT" w:eastAsia="Times New Roman" w:hAnsi="Gill Sans MT" w:cs="Times New Roman"/>
          <w:kern w:val="0"/>
          <w:lang w:eastAsia="en-GB"/>
          <w14:ligatures w14:val="none"/>
        </w:rPr>
      </w:pPr>
      <w:r w:rsidRPr="000E131B">
        <w:rPr>
          <w:rFonts w:ascii="Gill Sans MT" w:eastAsia="Times New Roman" w:hAnsi="Gill Sans MT" w:cs="Times New Roman"/>
          <w:noProof/>
          <w:kern w:val="0"/>
          <w:lang w:eastAsia="en-GB"/>
        </w:rPr>
        <w:pict w14:anchorId="6C2A09D9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E35DA4B" w14:textId="34F0E942" w:rsidR="00417A20" w:rsidRPr="00417A20" w:rsidRDefault="00417A20" w:rsidP="00417A20">
      <w:pPr>
        <w:spacing w:before="100" w:beforeAutospacing="1" w:after="100" w:afterAutospacing="1"/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</w:pPr>
      <w:r w:rsidRPr="00417A20"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  <w:t>Key Take</w:t>
      </w:r>
      <w:r w:rsidRPr="00417A20">
        <w:rPr>
          <w:rFonts w:ascii="Gill Sans MT" w:eastAsia="Times New Roman" w:hAnsi="Gill Sans MT" w:cs="Times New Roman"/>
          <w:b/>
          <w:bCs/>
          <w:kern w:val="0"/>
          <w:lang w:eastAsia="en-GB"/>
          <w14:ligatures w14:val="none"/>
        </w:rPr>
        <w:noBreakHyphen/>
        <w:t>away: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br/>
        <w:t>Use Lexile bands to streamline the search for “just</w:t>
      </w:r>
      <w:r w:rsidRPr="00417A20">
        <w:rPr>
          <w:rFonts w:ascii="Gill Sans MT" w:eastAsia="Times New Roman" w:hAnsi="Gill Sans MT" w:cs="Times New Roman"/>
          <w:kern w:val="0"/>
          <w:lang w:eastAsia="en-GB"/>
          <w14:ligatures w14:val="none"/>
        </w:rPr>
        <w:noBreakHyphen/>
        <w:t>right” texts—freeing time for rich discussion, strategy instruction and the sheer joy of reading—while keeping assessment of pupils centred on understanding, not on a single statistic.</w:t>
      </w:r>
    </w:p>
    <w:p w14:paraId="254CE86A" w14:textId="6430B3D2" w:rsidR="00430A95" w:rsidRPr="00417A20" w:rsidRDefault="00417A20">
      <w:pPr>
        <w:rPr>
          <w:rFonts w:ascii="Gill Sans MT" w:hAnsi="Gill Sans MT"/>
        </w:rPr>
      </w:pPr>
      <w:r w:rsidRPr="00417A20">
        <w:rPr>
          <w:rStyle w:val="Strong"/>
          <w:rFonts w:ascii="Gill Sans MT" w:hAnsi="Gill Sans MT"/>
        </w:rPr>
        <w:t>Disclaimer on Lexile® Measures</w:t>
      </w:r>
      <w:r w:rsidRPr="00417A20">
        <w:rPr>
          <w:rFonts w:ascii="Gill Sans MT" w:hAnsi="Gill Sans MT"/>
        </w:rPr>
        <w:br/>
        <w:t xml:space="preserve">All Lexile figures mentioned in this document are </w:t>
      </w:r>
      <w:r w:rsidRPr="00417A20">
        <w:rPr>
          <w:rStyle w:val="Emphasis"/>
          <w:rFonts w:ascii="Gill Sans MT" w:hAnsi="Gill Sans MT"/>
        </w:rPr>
        <w:t>approximate, unofficial estimates</w:t>
      </w:r>
      <w:r w:rsidRPr="00417A20">
        <w:rPr>
          <w:rFonts w:ascii="Gill Sans MT" w:hAnsi="Gill Sans MT"/>
        </w:rPr>
        <w:t xml:space="preserve"> produced with in</w:t>
      </w:r>
      <w:r w:rsidRPr="00417A20">
        <w:rPr>
          <w:rFonts w:ascii="Gill Sans MT" w:hAnsi="Gill Sans MT"/>
        </w:rPr>
        <w:noBreakHyphen/>
        <w:t xml:space="preserve">house readability tools that mimic the MetaMetrics® framework. They are supplied solely to help teachers and parents compare the relative difficulty of one text against </w:t>
      </w:r>
      <w:r w:rsidRPr="00417A20">
        <w:rPr>
          <w:rFonts w:ascii="Gill Sans MT" w:hAnsi="Gill Sans MT"/>
        </w:rPr>
        <w:lastRenderedPageBreak/>
        <w:t>another and to filter resources into broad year</w:t>
      </w:r>
      <w:r w:rsidRPr="00417A20">
        <w:rPr>
          <w:rFonts w:ascii="Gill Sans MT" w:hAnsi="Gill Sans MT"/>
        </w:rPr>
        <w:noBreakHyphen/>
        <w:t xml:space="preserve">group bands. We do </w:t>
      </w:r>
      <w:r w:rsidRPr="00417A20">
        <w:rPr>
          <w:rStyle w:val="Strong"/>
          <w:rFonts w:ascii="Gill Sans MT" w:hAnsi="Gill Sans MT"/>
        </w:rPr>
        <w:t>not</w:t>
      </w:r>
      <w:r w:rsidRPr="00417A20">
        <w:rPr>
          <w:rFonts w:ascii="Gill Sans MT" w:hAnsi="Gill Sans MT"/>
        </w:rPr>
        <w:t xml:space="preserve"> hold any licence to assign official Lexile measures, nor do we claim ownership of the Lexile® brand, which remains the property of MetaMetrics, Inc. For formal reporting or high</w:t>
      </w:r>
      <w:r w:rsidRPr="00417A20">
        <w:rPr>
          <w:rFonts w:ascii="Gill Sans MT" w:hAnsi="Gill Sans MT"/>
        </w:rPr>
        <w:noBreakHyphen/>
        <w:t>stakes assessment, schools should use texts that have been analysed and certified by MetaMetrics itself.</w:t>
      </w:r>
    </w:p>
    <w:sectPr w:rsidR="00430A95" w:rsidRPr="00417A2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87683" w14:textId="77777777" w:rsidR="000E131B" w:rsidRDefault="000E131B" w:rsidP="00417A20">
      <w:r>
        <w:separator/>
      </w:r>
    </w:p>
  </w:endnote>
  <w:endnote w:type="continuationSeparator" w:id="0">
    <w:p w14:paraId="0A246887" w14:textId="77777777" w:rsidR="000E131B" w:rsidRDefault="000E131B" w:rsidP="00417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23BC6" w14:textId="093D0798" w:rsidR="00417A20" w:rsidRPr="00417A20" w:rsidRDefault="00417A20" w:rsidP="00417A20">
    <w:pPr>
      <w:pStyle w:val="Footer"/>
      <w:jc w:val="center"/>
      <w:rPr>
        <w:rFonts w:ascii="Gill Sans MT" w:hAnsi="Gill Sans MT"/>
        <w:color w:val="BFBFBF" w:themeColor="background1" w:themeShade="BF"/>
        <w:sz w:val="22"/>
        <w:szCs w:val="22"/>
      </w:rPr>
    </w:pPr>
    <w:r w:rsidRPr="00417A20">
      <w:rPr>
        <w:rFonts w:ascii="Gill Sans MT" w:hAnsi="Gill Sans MT"/>
        <w:color w:val="BFBFBF" w:themeColor="background1" w:themeShade="BF"/>
        <w:sz w:val="22"/>
        <w:szCs w:val="22"/>
      </w:rPr>
      <w:t>Vocabulary Ninja ©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DBBB0" w14:textId="77777777" w:rsidR="000E131B" w:rsidRDefault="000E131B" w:rsidP="00417A20">
      <w:r>
        <w:separator/>
      </w:r>
    </w:p>
  </w:footnote>
  <w:footnote w:type="continuationSeparator" w:id="0">
    <w:p w14:paraId="154F704F" w14:textId="77777777" w:rsidR="000E131B" w:rsidRDefault="000E131B" w:rsidP="00417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46582"/>
    <w:multiLevelType w:val="multilevel"/>
    <w:tmpl w:val="10362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F62BF"/>
    <w:multiLevelType w:val="multilevel"/>
    <w:tmpl w:val="035A1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7451170">
    <w:abstractNumId w:val="0"/>
  </w:num>
  <w:num w:numId="2" w16cid:durableId="182670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39"/>
    <w:rsid w:val="000E131B"/>
    <w:rsid w:val="00417A20"/>
    <w:rsid w:val="00430A95"/>
    <w:rsid w:val="006206E1"/>
    <w:rsid w:val="00884D4C"/>
    <w:rsid w:val="008A4355"/>
    <w:rsid w:val="00AA4BA3"/>
    <w:rsid w:val="00D25D62"/>
    <w:rsid w:val="00EE4C39"/>
    <w:rsid w:val="00F32181"/>
    <w:rsid w:val="00F9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41496"/>
  <w15:chartTrackingRefBased/>
  <w15:docId w15:val="{3A64349E-85E8-3041-8748-8441FBB0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4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4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4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4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4C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4C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4C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4C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4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E4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4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4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4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4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4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4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4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4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4C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4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4C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4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4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4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4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4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4C3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EE4C39"/>
    <w:rPr>
      <w:b/>
      <w:bCs/>
    </w:rPr>
  </w:style>
  <w:style w:type="table" w:styleId="PlainTable1">
    <w:name w:val="Plain Table 1"/>
    <w:basedOn w:val="TableNormal"/>
    <w:uiPriority w:val="41"/>
    <w:rsid w:val="00EE4C3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EE4C3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EE4C3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417A20"/>
    <w:rPr>
      <w:i/>
      <w:iCs/>
    </w:rPr>
  </w:style>
  <w:style w:type="character" w:customStyle="1" w:styleId="overflow-hidden">
    <w:name w:val="overflow-hidden"/>
    <w:basedOn w:val="DefaultParagraphFont"/>
    <w:rsid w:val="00417A20"/>
  </w:style>
  <w:style w:type="paragraph" w:styleId="Header">
    <w:name w:val="header"/>
    <w:basedOn w:val="Normal"/>
    <w:link w:val="HeaderChar"/>
    <w:uiPriority w:val="99"/>
    <w:unhideWhenUsed/>
    <w:rsid w:val="00417A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A20"/>
  </w:style>
  <w:style w:type="paragraph" w:styleId="Footer">
    <w:name w:val="footer"/>
    <w:basedOn w:val="Normal"/>
    <w:link w:val="FooterChar"/>
    <w:uiPriority w:val="99"/>
    <w:unhideWhenUsed/>
    <w:rsid w:val="00417A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8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0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6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35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99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589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1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94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Jennings</dc:creator>
  <cp:keywords/>
  <dc:description/>
  <cp:lastModifiedBy>Andrew Jennings</cp:lastModifiedBy>
  <cp:revision>1</cp:revision>
  <dcterms:created xsi:type="dcterms:W3CDTF">2025-05-12T07:19:00Z</dcterms:created>
  <dcterms:modified xsi:type="dcterms:W3CDTF">2025-05-12T07:42:00Z</dcterms:modified>
</cp:coreProperties>
</file>